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2000"/>
        <w:jc w:val="center"/>
      </w:pPr>
      <w:r>
        <w:drawing>
          <wp:inline distT="0" distB="0" distL="0" distR="0">
            <wp:extent cx="1143000" cy="1143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400"/>
        <w:jc w:val="center"/>
      </w:pPr>
      <w:r>
        <w:rPr>
          <w:rFonts w:ascii="Calibri" w:cs="Calibri" w:eastAsia="Calibri" w:hAnsi="Calibri"/>
          <w:b/>
          <w:bCs/>
          <w:color w:val="333369"/>
          <w:sz w:val="46"/>
          <w:szCs w:val="46"/>
        </w:rPr>
        <w:t xml:space="preserve">WELCOME TO</w:t>
      </w:r>
    </w:p>
    <w:p>
      <w:pPr>
        <w:jc w:val="center"/>
      </w:pPr>
      <w:r>
        <w:rPr>
          <w:rFonts w:ascii="Calibri" w:cs="Calibri" w:eastAsia="Calibri" w:hAnsi="Calibri"/>
          <w:b/>
          <w:bCs/>
          <w:color w:val="333369"/>
          <w:sz w:val="46"/>
          <w:szCs w:val="46"/>
        </w:rPr>
        <w:t xml:space="preserve">NORTHERN IRELAND</w:t>
      </w:r>
    </w:p>
    <w:p>
      <w:pPr>
        <w:spacing w:before="200"/>
        <w:jc w:val="center"/>
      </w:pPr>
      <w:r>
        <w:rPr>
          <w:rFonts w:ascii="Calibri" w:cs="Calibri" w:eastAsia="Calibri" w:hAnsi="Calibri"/>
          <w:i/>
          <w:iCs/>
          <w:color w:val="FF6F61"/>
          <w:sz w:val="26"/>
          <w:szCs w:val="26"/>
        </w:rPr>
        <w:t xml:space="preserve">A practical resettlement guide for new arrivals</w:t>
      </w:r>
    </w:p>
    <w:p>
      <w:pPr>
        <w:spacing w:before="1800"/>
        <w:jc w:val="center"/>
      </w:pPr>
      <w:r>
        <w:rPr>
          <w:rFonts w:ascii="Calibri" w:cs="Calibri" w:eastAsia="Calibri" w:hAnsi="Calibri"/>
          <w:i/>
          <w:iCs/>
          <w:color w:val="999999"/>
          <w:sz w:val="18"/>
          <w:szCs w:val="18"/>
        </w:rPr>
        <w:t xml:space="preserve">A guide from MBNNI — Minority Business Network NI</w:t>
      </w:r>
    </w:p>
    <w:p>
      <w:pPr>
        <w:jc w:val="center"/>
      </w:pPr>
      <w:r>
        <w:rPr>
          <w:rFonts w:ascii="Calibri" w:cs="Calibri" w:eastAsia="Calibri" w:hAnsi="Calibri"/>
          <w:i/>
          <w:iCs/>
          <w:color w:val="999999"/>
          <w:sz w:val="18"/>
          <w:szCs w:val="18"/>
        </w:rPr>
        <w:t xml:space="preserve">mbnni.com</w:t>
      </w:r>
    </w:p>
    <w:p>
      <w:pPr>
        <w:pageBreakBefore/>
        <w:spacing w:after="200" w:before="500"/>
      </w:pPr>
      <w:r>
        <w:rPr>
          <w:rFonts w:ascii="Calibri" w:cs="Calibri" w:eastAsia="Calibri" w:hAnsi="Calibri"/>
          <w:b/>
          <w:bCs/>
          <w:color w:val="FF6F61"/>
          <w:sz w:val="22"/>
          <w:szCs w:val="22"/>
        </w:rPr>
        <w:t xml:space="preserve">1</w:t>
      </w:r>
      <w:r>
        <w:rPr>
          <w:rFonts w:ascii="Calibri" w:cs="Calibri" w:eastAsia="Calibri" w:hAnsi="Calibri"/>
          <w:b/>
          <w:bCs/>
          <w:color w:val="333369"/>
          <w:sz w:val="32"/>
          <w:szCs w:val="32"/>
        </w:rPr>
        <w:t xml:space="preserve">   Your First Week</w:t>
      </w:r>
    </w:p>
    <w:p>
      <w:pPr>
        <w:spacing w:after="16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Moving to a new country is a lot to take in. This guide covers the practical essentials in the order most people need them — from your first days through to settling in for the long term.</w:t>
      </w:r>
    </w:p>
    <w:p>
      <w:pPr>
        <w:spacing w:after="120" w:before="260"/>
      </w:pPr>
      <w:r>
        <w:rPr>
          <w:rFonts w:ascii="Calibri" w:cs="Calibri" w:eastAsia="Calibri" w:hAnsi="Calibri"/>
          <w:b/>
          <w:bCs/>
          <w:color w:val="222222"/>
          <w:sz w:val="23"/>
          <w:szCs w:val="23"/>
        </w:rPr>
        <w:t xml:space="preserve">Priority checklist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Register with a GP (doctor) — you don't need a fixed address to register.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Apply for a National Insurance number if you don't already have one — needed to work and pay tax.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Open a bank account (see Banking section below).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Get a local SIM card / mobile plan.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If you have children, contact your local council's school admissions team as early as possible.</w:t>
      </w:r>
    </w:p>
    <w:p>
      <w:pPr>
        <w:shd w:fill="F4F4F7" w:color="auto" w:val="clear"/>
        <w:spacing w:after="200" w:before="120"/>
        <w:ind w:left="200" w:right="200"/>
      </w:pPr>
      <w:r>
        <w:rPr>
          <w:rFonts w:ascii="Calibri" w:cs="Calibri" w:eastAsia="Calibri" w:hAnsi="Calibri"/>
          <w:b/>
          <w:bCs/>
          <w:color w:val="FF6F61"/>
          <w:sz w:val="20"/>
          <w:szCs w:val="20"/>
        </w:rPr>
        <w:t xml:space="preserve">MBNNI TIP:  </w:t>
      </w:r>
      <w:r>
        <w:rPr>
          <w:rFonts w:ascii="Calibri" w:cs="Calibri" w:eastAsia="Calibri" w:hAnsi="Calibri"/>
          <w:i/>
          <w:iCs/>
          <w:color w:val="444444"/>
          <w:sz w:val="20"/>
          <w:szCs w:val="20"/>
        </w:rPr>
        <w:t xml:space="preserve">Keep digital and physical copies of your passport, visa/BRP, and any qualification certificates — you'll need them repeatedly for banking, jobs, and housing.</w:t>
      </w:r>
    </w:p>
    <w:p>
      <w:pPr>
        <w:pageBreakBefore/>
        <w:spacing w:after="200" w:before="500"/>
      </w:pPr>
      <w:r>
        <w:rPr>
          <w:rFonts w:ascii="Calibri" w:cs="Calibri" w:eastAsia="Calibri" w:hAnsi="Calibri"/>
          <w:b/>
          <w:bCs/>
          <w:color w:val="FF6F61"/>
          <w:sz w:val="22"/>
          <w:szCs w:val="22"/>
        </w:rPr>
        <w:t xml:space="preserve">2</w:t>
      </w:r>
      <w:r>
        <w:rPr>
          <w:rFonts w:ascii="Calibri" w:cs="Calibri" w:eastAsia="Calibri" w:hAnsi="Calibri"/>
          <w:b/>
          <w:bCs/>
          <w:color w:val="333369"/>
          <w:sz w:val="32"/>
          <w:szCs w:val="32"/>
        </w:rPr>
        <w:t xml:space="preserve">   Housing</w:t>
      </w:r>
    </w:p>
    <w:p>
      <w:pPr>
        <w:spacing w:after="120" w:before="260"/>
      </w:pPr>
      <w:r>
        <w:rPr>
          <w:rFonts w:ascii="Calibri" w:cs="Calibri" w:eastAsia="Calibri" w:hAnsi="Calibri"/>
          <w:b/>
          <w:bCs/>
          <w:color w:val="222222"/>
          <w:sz w:val="23"/>
          <w:szCs w:val="23"/>
        </w:rPr>
        <w:t xml:space="preserve">Renting privately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Most landlords ask for: proof of identity, proof of income or a guarantor, and a deposit (usually 1 month's rent, protected by law in a deposit scheme).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Use recognised letting agents or property sites; be cautious of anyone asking for payment before you've viewed a property.</w:t>
      </w:r>
    </w:p>
    <w:p>
      <w:pPr>
        <w:spacing w:after="120" w:before="260"/>
      </w:pPr>
      <w:r>
        <w:rPr>
          <w:rFonts w:ascii="Calibri" w:cs="Calibri" w:eastAsia="Calibri" w:hAnsi="Calibri"/>
          <w:b/>
          <w:bCs/>
          <w:color w:val="222222"/>
          <w:sz w:val="23"/>
          <w:szCs w:val="23"/>
        </w:rPr>
        <w:t xml:space="preserve">Social housing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Apply through the Housing Executive (NIHE) — eligibility depends on immigration status; ask for advice if unsure.</w:t>
      </w:r>
    </w:p>
    <w:p>
      <w:pPr>
        <w:spacing w:after="120" w:before="260"/>
      </w:pPr>
      <w:r>
        <w:rPr>
          <w:rFonts w:ascii="Calibri" w:cs="Calibri" w:eastAsia="Calibri" w:hAnsi="Calibri"/>
          <w:b/>
          <w:bCs/>
          <w:color w:val="222222"/>
          <w:sz w:val="23"/>
          <w:szCs w:val="23"/>
        </w:rPr>
        <w:t xml:space="preserve">Council tax equivalent (rates)</w:t>
      </w:r>
    </w:p>
    <w:p>
      <w:pPr>
        <w:spacing w:after="16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In Northern Ireland, property tax is called "rates," billed by Land &amp; Property Services — it covers both the regional and district portion, unlike council tax in Great Britain.</w:t>
      </w:r>
    </w:p>
    <w:p>
      <w:pPr>
        <w:pageBreakBefore/>
        <w:spacing w:after="200" w:before="500"/>
      </w:pPr>
      <w:r>
        <w:rPr>
          <w:rFonts w:ascii="Calibri" w:cs="Calibri" w:eastAsia="Calibri" w:hAnsi="Calibri"/>
          <w:b/>
          <w:bCs/>
          <w:color w:val="FF6F61"/>
          <w:sz w:val="22"/>
          <w:szCs w:val="22"/>
        </w:rPr>
        <w:t xml:space="preserve">3</w:t>
      </w:r>
      <w:r>
        <w:rPr>
          <w:rFonts w:ascii="Calibri" w:cs="Calibri" w:eastAsia="Calibri" w:hAnsi="Calibri"/>
          <w:b/>
          <w:bCs/>
          <w:color w:val="333369"/>
          <w:sz w:val="32"/>
          <w:szCs w:val="32"/>
        </w:rPr>
        <w:t xml:space="preserve">   Banking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High-street banks (Danske Bank, Ulster Bank, Bank of Ireland, AIB, Halifax) require proof of address and ID — this can be a challenge before you've secured housing.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Digital-first banks (Starling, Monzo, Revolut) often accept a passport/BRP alone and are frequently the fastest option for new arrivals.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A letter from an employer, university, or registered charity can sometimes substitute for proof of address if you don't have one yet.</w:t>
      </w:r>
    </w:p>
    <w:p>
      <w:pPr>
        <w:pageBreakBefore/>
        <w:spacing w:after="200" w:before="500"/>
      </w:pPr>
      <w:r>
        <w:rPr>
          <w:rFonts w:ascii="Calibri" w:cs="Calibri" w:eastAsia="Calibri" w:hAnsi="Calibri"/>
          <w:b/>
          <w:bCs/>
          <w:color w:val="FF6F61"/>
          <w:sz w:val="22"/>
          <w:szCs w:val="22"/>
        </w:rPr>
        <w:t xml:space="preserve">4</w:t>
      </w:r>
      <w:r>
        <w:rPr>
          <w:rFonts w:ascii="Calibri" w:cs="Calibri" w:eastAsia="Calibri" w:hAnsi="Calibri"/>
          <w:b/>
          <w:bCs/>
          <w:color w:val="333369"/>
          <w:sz w:val="32"/>
          <w:szCs w:val="32"/>
        </w:rPr>
        <w:t xml:space="preserve">   Healthcare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The NHS in Northern Ireland is free at the point of use for most residents — register with a GP practice near where you live as soon as possible.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For emergencies, call 999. For urgent but non-emergency advice, call 111.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Dental and optical care may involve charges — ask your GP practice or search "NHS dentist near me" on gov.uk.</w:t>
      </w:r>
    </w:p>
    <w:p>
      <w:pPr>
        <w:shd w:fill="F4F4F7" w:color="auto" w:val="clear"/>
        <w:spacing w:after="200" w:before="120"/>
        <w:ind w:left="200" w:right="200"/>
      </w:pPr>
      <w:r>
        <w:rPr>
          <w:rFonts w:ascii="Calibri" w:cs="Calibri" w:eastAsia="Calibri" w:hAnsi="Calibri"/>
          <w:b/>
          <w:bCs/>
          <w:color w:val="FF6F61"/>
          <w:sz w:val="20"/>
          <w:szCs w:val="20"/>
        </w:rPr>
        <w:t xml:space="preserve">MBNNI TIP:  </w:t>
      </w:r>
      <w:r>
        <w:rPr>
          <w:rFonts w:ascii="Calibri" w:cs="Calibri" w:eastAsia="Calibri" w:hAnsi="Calibri"/>
          <w:i/>
          <w:iCs/>
          <w:color w:val="444444"/>
          <w:sz w:val="20"/>
          <w:szCs w:val="20"/>
        </w:rPr>
        <w:t xml:space="preserve">If you're not sure about your eligibility for free NHS care based on your immigration status, Citizens Advice or the practice manager can clarify before you're billed.</w:t>
      </w:r>
    </w:p>
    <w:p>
      <w:pPr>
        <w:pageBreakBefore/>
        <w:spacing w:after="200" w:before="500"/>
      </w:pPr>
      <w:r>
        <w:rPr>
          <w:rFonts w:ascii="Calibri" w:cs="Calibri" w:eastAsia="Calibri" w:hAnsi="Calibri"/>
          <w:b/>
          <w:bCs/>
          <w:color w:val="FF6F61"/>
          <w:sz w:val="22"/>
          <w:szCs w:val="22"/>
        </w:rPr>
        <w:t xml:space="preserve">5</w:t>
      </w:r>
      <w:r>
        <w:rPr>
          <w:rFonts w:ascii="Calibri" w:cs="Calibri" w:eastAsia="Calibri" w:hAnsi="Calibri"/>
          <w:b/>
          <w:bCs/>
          <w:color w:val="333369"/>
          <w:sz w:val="32"/>
          <w:szCs w:val="32"/>
        </w:rPr>
        <w:t xml:space="preserve">   Work &amp; Income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Check your visa conditions for any work restrictions before accepting a job or starting self-employment.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Universal Credit and other benefits have specific eligibility rules tied to immigration status — get advice before assuming entitlement either way.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MBNNI's job board lists employers who specifically welcome applications from migrant and minority candidates.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Many professional qualifications from abroad need a UK equivalency check (e.g. through UK ENIC) before they're recognised by employers.</w:t>
      </w:r>
    </w:p>
    <w:p>
      <w:pPr>
        <w:pageBreakBefore/>
        <w:spacing w:after="200" w:before="500"/>
      </w:pPr>
      <w:r>
        <w:rPr>
          <w:rFonts w:ascii="Calibri" w:cs="Calibri" w:eastAsia="Calibri" w:hAnsi="Calibri"/>
          <w:b/>
          <w:bCs/>
          <w:color w:val="FF6F61"/>
          <w:sz w:val="22"/>
          <w:szCs w:val="22"/>
        </w:rPr>
        <w:t xml:space="preserve">6</w:t>
      </w:r>
      <w:r>
        <w:rPr>
          <w:rFonts w:ascii="Calibri" w:cs="Calibri" w:eastAsia="Calibri" w:hAnsi="Calibri"/>
          <w:b/>
          <w:bCs/>
          <w:color w:val="333369"/>
          <w:sz w:val="32"/>
          <w:szCs w:val="32"/>
        </w:rPr>
        <w:t xml:space="preserve">   Education &amp; Language Support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School places: apply through your local council's admissions process; children have a right to education regardless of immigration status.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English language (ESOL) classes are available free or low-cost through further education colleges and community organisations across NI.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Universities and colleges have dedicated international/migrant student support offices — worth contacting even outside term time.</w:t>
      </w:r>
    </w:p>
    <w:p>
      <w:pPr>
        <w:pageBreakBefore/>
        <w:spacing w:after="200" w:before="500"/>
      </w:pPr>
      <w:r>
        <w:rPr>
          <w:rFonts w:ascii="Calibri" w:cs="Calibri" w:eastAsia="Calibri" w:hAnsi="Calibri"/>
          <w:b/>
          <w:bCs/>
          <w:color w:val="FF6F61"/>
          <w:sz w:val="22"/>
          <w:szCs w:val="22"/>
        </w:rPr>
        <w:t xml:space="preserve">7</w:t>
      </w:r>
      <w:r>
        <w:rPr>
          <w:rFonts w:ascii="Calibri" w:cs="Calibri" w:eastAsia="Calibri" w:hAnsi="Calibri"/>
          <w:b/>
          <w:bCs/>
          <w:color w:val="333369"/>
          <w:sz w:val="32"/>
          <w:szCs w:val="32"/>
        </w:rPr>
        <w:t xml:space="preserve">   Building Community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MBNNI networking events and the community forum are a direct route to meeting others who've been through the same resettlement process.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Local cultural and faith organisations are often a fast way to find practical, peer-to-peer advice specific to your community.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Volunteering is a well-regarded way to build a UK work history and local references while you search for paid work.</w:t>
      </w:r>
    </w:p>
    <w:p>
      <w:pPr>
        <w:pageBreakBefore/>
        <w:spacing w:after="200" w:before="500"/>
      </w:pPr>
      <w:r>
        <w:rPr>
          <w:rFonts w:ascii="Calibri" w:cs="Calibri" w:eastAsia="Calibri" w:hAnsi="Calibri"/>
          <w:b/>
          <w:bCs/>
          <w:color w:val="FF6F61"/>
          <w:sz w:val="22"/>
          <w:szCs w:val="22"/>
        </w:rPr>
        <w:t xml:space="preserve">8</w:t>
      </w:r>
      <w:r>
        <w:rPr>
          <w:rFonts w:ascii="Calibri" w:cs="Calibri" w:eastAsia="Calibri" w:hAnsi="Calibri"/>
          <w:b/>
          <w:bCs/>
          <w:color w:val="333369"/>
          <w:sz w:val="32"/>
          <w:szCs w:val="32"/>
        </w:rPr>
        <w:t xml:space="preserve">   Key Contacts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0"/>
        <w:gridCol w:w="3800"/>
      </w:tblGrid>
      <w:tr>
        <w:trPr>
          <w:tblHeader/>
        </w:trPr>
        <w:tc>
          <w:tcPr>
            <w:tcW w:type="dxa" w:w="6000"/>
            <w:shd w:fill="333369" w:color="auto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Service</w:t>
            </w:r>
          </w:p>
        </w:tc>
        <w:tc>
          <w:tcPr>
            <w:tcW w:type="dxa" w:w="3800"/>
            <w:shd w:fill="333369" w:color="auto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Contact</w:t>
            </w:r>
          </w:p>
        </w:tc>
      </w:tr>
      <w:tr>
        <w:tc>
          <w:tcPr>
            <w:tcW w:type="dxa" w:w="6000"/>
            <w:shd w:fill="FFFFFF" w:color="auto" w:val="clear"/>
          </w:tcPr>
          <w:p>
            <w:r>
              <w:rPr>
                <w:color w:val="333333"/>
                <w:sz w:val="20"/>
                <w:szCs w:val="20"/>
              </w:rPr>
              <w:t xml:space="preserve">Emergency services</w:t>
            </w:r>
          </w:p>
        </w:tc>
        <w:tc>
          <w:tcPr>
            <w:tcW w:type="dxa" w:w="3800"/>
            <w:shd w:fill="FFFFFF" w:color="auto" w:val="clear"/>
          </w:tcPr>
          <w:p>
            <w:r>
              <w:rPr>
                <w:color w:val="333333"/>
                <w:sz w:val="20"/>
                <w:szCs w:val="20"/>
              </w:rPr>
              <w:t xml:space="preserve">999</w:t>
            </w:r>
          </w:p>
        </w:tc>
      </w:tr>
      <w:tr>
        <w:tc>
          <w:tcPr>
            <w:tcW w:type="dxa" w:w="6000"/>
            <w:shd w:fill="F4F4F7" w:color="auto" w:val="clear"/>
          </w:tcPr>
          <w:p>
            <w:r>
              <w:rPr>
                <w:color w:val="333333"/>
                <w:sz w:val="20"/>
                <w:szCs w:val="20"/>
              </w:rPr>
              <w:t xml:space="preserve">Non-emergency police</w:t>
            </w:r>
          </w:p>
        </w:tc>
        <w:tc>
          <w:tcPr>
            <w:tcW w:type="dxa" w:w="3800"/>
            <w:shd w:fill="F4F4F7" w:color="auto" w:val="clear"/>
          </w:tcPr>
          <w:p>
            <w:r>
              <w:rPr>
                <w:color w:val="333333"/>
                <w:sz w:val="20"/>
                <w:szCs w:val="20"/>
              </w:rPr>
              <w:t xml:space="preserve">101</w:t>
            </w:r>
          </w:p>
        </w:tc>
      </w:tr>
      <w:tr>
        <w:tc>
          <w:tcPr>
            <w:tcW w:type="dxa" w:w="6000"/>
            <w:shd w:fill="FFFFFF" w:color="auto" w:val="clear"/>
          </w:tcPr>
          <w:p>
            <w:r>
              <w:rPr>
                <w:color w:val="333333"/>
                <w:sz w:val="20"/>
                <w:szCs w:val="20"/>
              </w:rPr>
              <w:t xml:space="preserve">NHS non-emergency health advice</w:t>
            </w:r>
          </w:p>
        </w:tc>
        <w:tc>
          <w:tcPr>
            <w:tcW w:type="dxa" w:w="3800"/>
            <w:shd w:fill="FFFFFF" w:color="auto" w:val="clear"/>
          </w:tcPr>
          <w:p>
            <w:r>
              <w:rPr>
                <w:color w:val="333333"/>
                <w:sz w:val="20"/>
                <w:szCs w:val="20"/>
              </w:rPr>
              <w:t xml:space="preserve">111</w:t>
            </w:r>
          </w:p>
        </w:tc>
      </w:tr>
      <w:tr>
        <w:tc>
          <w:tcPr>
            <w:tcW w:type="dxa" w:w="6000"/>
            <w:shd w:fill="F4F4F7" w:color="auto" w:val="clear"/>
          </w:tcPr>
          <w:p>
            <w:r>
              <w:rPr>
                <w:color w:val="333333"/>
                <w:sz w:val="20"/>
                <w:szCs w:val="20"/>
              </w:rPr>
              <w:t xml:space="preserve">Citizens Advice NI</w:t>
            </w:r>
          </w:p>
        </w:tc>
        <w:tc>
          <w:tcPr>
            <w:tcW w:type="dxa" w:w="3800"/>
            <w:shd w:fill="F4F4F7" w:color="auto" w:val="clear"/>
          </w:tcPr>
          <w:p>
            <w:r>
              <w:rPr>
                <w:color w:val="333333"/>
                <w:sz w:val="20"/>
                <w:szCs w:val="20"/>
              </w:rPr>
              <w:t xml:space="preserve">0800 022 3020</w:t>
            </w:r>
          </w:p>
        </w:tc>
      </w:tr>
      <w:tr>
        <w:tc>
          <w:tcPr>
            <w:tcW w:type="dxa" w:w="6000"/>
            <w:shd w:fill="FFFFFF" w:color="auto" w:val="clear"/>
          </w:tcPr>
          <w:p>
            <w:r>
              <w:rPr>
                <w:color w:val="333333"/>
                <w:sz w:val="20"/>
                <w:szCs w:val="20"/>
              </w:rPr>
              <w:t xml:space="preserve">Law Centre NI</w:t>
            </w:r>
          </w:p>
        </w:tc>
        <w:tc>
          <w:tcPr>
            <w:tcW w:type="dxa" w:w="3800"/>
            <w:shd w:fill="FFFFFF" w:color="auto" w:val="clear"/>
          </w:tcPr>
          <w:p>
            <w:r>
              <w:rPr>
                <w:color w:val="333333"/>
                <w:sz w:val="20"/>
                <w:szCs w:val="20"/>
              </w:rPr>
              <w:t xml:space="preserve">lawcentreni.org</w:t>
            </w:r>
          </w:p>
        </w:tc>
      </w:tr>
      <w:tr>
        <w:tc>
          <w:tcPr>
            <w:tcW w:type="dxa" w:w="6000"/>
            <w:shd w:fill="F4F4F7" w:color="auto" w:val="clear"/>
          </w:tcPr>
          <w:p>
            <w:r>
              <w:rPr>
                <w:color w:val="333333"/>
                <w:sz w:val="20"/>
                <w:szCs w:val="20"/>
              </w:rPr>
              <w:t xml:space="preserve">NI Housing Executive</w:t>
            </w:r>
          </w:p>
        </w:tc>
        <w:tc>
          <w:tcPr>
            <w:tcW w:type="dxa" w:w="3800"/>
            <w:shd w:fill="F4F4F7" w:color="auto" w:val="clear"/>
          </w:tcPr>
          <w:p>
            <w:r>
              <w:rPr>
                <w:color w:val="333333"/>
                <w:sz w:val="20"/>
                <w:szCs w:val="20"/>
              </w:rPr>
              <w:t xml:space="preserve">nihe.gov.uk</w:t>
            </w:r>
          </w:p>
        </w:tc>
      </w:tr>
      <w:tr>
        <w:tc>
          <w:tcPr>
            <w:tcW w:type="dxa" w:w="6000"/>
            <w:shd w:fill="FFFFFF" w:color="auto" w:val="clear"/>
          </w:tcPr>
          <w:p>
            <w:r>
              <w:rPr>
                <w:color w:val="333333"/>
                <w:sz w:val="20"/>
                <w:szCs w:val="20"/>
              </w:rPr>
              <w:t xml:space="preserve">MBNNI community &amp; directory</w:t>
            </w:r>
          </w:p>
        </w:tc>
        <w:tc>
          <w:tcPr>
            <w:tcW w:type="dxa" w:w="3800"/>
            <w:shd w:fill="FFFFFF" w:color="auto" w:val="clear"/>
          </w:tcPr>
          <w:p>
            <w:r>
              <w:rPr>
                <w:color w:val="333333"/>
                <w:sz w:val="20"/>
                <w:szCs w:val="20"/>
              </w:rPr>
              <w:t xml:space="preserve">mbnni.com</w:t>
            </w:r>
          </w:p>
        </w:tc>
      </w:tr>
    </w:tbl>
    <w:p>
      <w:pPr>
        <w:pBdr>
          <w:top w:val="single" w:color="FF6F61" w:sz="8"/>
        </w:pBdr>
        <w:spacing w:before="500"/>
      </w:pPr>
      <w:r>
        <w:rPr>
          <w:rFonts w:ascii="Calibri" w:cs="Calibri" w:eastAsia="Calibri" w:hAnsi="Calibri"/>
          <w:i/>
          <w:iCs/>
          <w:color w:val="999999"/>
          <w:sz w:val="16"/>
          <w:szCs w:val="16"/>
        </w:rPr>
        <w:t xml:space="preserve">This guide is general information, not legal advice. Rules and eligibility change — always confirm current details on gov.uk, nidirect.gov.uk, or with a qualified adviser.  ·  MBNNI — Minority Business Network NI  ·  mbnni.com</w:t>
      </w:r>
    </w:p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1e658e27ce20e2897bf4ffe823e1a1c98ebccaf4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2026-08-24T05:18:11.065Z</dcterms:created>
  <dcterms:modified xsi:type="dcterms:W3CDTF">2026-08-24T05:18:11.065Z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